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Colorado State University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552575" cy="1548096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Alternative Transportation Fee Advisory Board 2017-2018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4th, 2017 at 1800 PM MST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ASCSU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Approved/Draft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Recorded by: CJ </w:t>
      </w:r>
      <w:r w:rsidDel="00000000" w:rsidR="00000000" w:rsidRPr="00000000">
        <w:rPr>
          <w:sz w:val="28"/>
          <w:szCs w:val="28"/>
          <w:rtl w:val="0"/>
        </w:rPr>
        <w:t xml:space="preserve">Ash, College of Liberal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Attendance </w:t>
      </w:r>
    </w:p>
    <w:tbl>
      <w:tblPr>
        <w:tblStyle w:val="Table1"/>
        <w:tblW w:w="9355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7"/>
        <w:gridCol w:w="2025"/>
        <w:gridCol w:w="2655"/>
        <w:gridCol w:w="2338"/>
        <w:tblGridChange w:id="0">
          <w:tblGrid>
            <w:gridCol w:w="2337"/>
            <w:gridCol w:w="2025"/>
            <w:gridCol w:w="2655"/>
            <w:gridCol w:w="2338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Affiliation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Present?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Fodge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Buckley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Brian Grube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CFO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Hanna Johnson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Chairperson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ASCSU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Bry Lindell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Engineering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Madelyn Royal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CJ Ash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Secretary / 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Liberal Arts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Josh Lindell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 Godfrey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Zachary Vaishampayan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Drummond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CVMBS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Wendell Stainsby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Graduate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Remy Altman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Makayla Edwards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Diego Santiago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Shannon Lee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Dylan Meehleis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HHS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Adam Wilson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 Sciences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Kalyn O’Byrne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Undeclared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Matt Edrich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Warner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Unfilled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Sciences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Minutes from 11/13, 11/27 approved with no dissent.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General Discussion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(Aaron Fodge)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projects should be reviewed?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should the pool of money look like?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(Josh Lindell)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Very concerned about people coming through the parking lot. Don’t want to put more bikes next to more cars. Would increase frequency of accidents.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(Aaron Buckley)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I’ve got seven longboard racks coming to campus. Friday or Monday (12/8, 12/11)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Vote on Meeting Times for Spring 2018 Semester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dissent to keeping meeting at same time.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on Prioritized Projects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Painted Dismount Zone (University Ave by LSC/Library)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(Aaron Fodge) I think the solution for this area is going to be a Roundabout, and NOT speed bumps. Split trail is more feasible leadin</w:t>
      </w:r>
      <w:r w:rsidDel="00000000" w:rsidR="00000000" w:rsidRPr="00000000">
        <w:rPr>
          <w:sz w:val="28"/>
          <w:szCs w:val="28"/>
          <w:rtl w:val="0"/>
        </w:rPr>
        <w:t xml:space="preserve">g into it. You’d be forcing bikes to one side, making it easier for pedestrians to cross in. Put bike area on north side of university? (Facilities could probably do 3-5 projects, depending on what we ask for. They’re excited to do it)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LSC (Wendell Stainsby)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 Plum and Meridian (Wendell Stainsby)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(Aaron Fodge) - Additional money could potentially come from facilities on this. Need roundabout AND split trail. Roundabout needs to funnel people to be effective.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Dismount Zones Signs (small cost) (Adam Wilson)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Hughes Way speed bumps and mirrors (Josh Lindell)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Mirror could potentially be done w/out ATFAB investing in it (Aaron Fodge)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Get rid of bollards on University West by the IM Fields / Green Trail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#9 -Two Way Flow Lane in front of Administration on the Oval (Matt Edrich)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Forked Way by East Elizabeth </w:t>
      </w:r>
      <w:r w:rsidDel="00000000" w:rsidR="00000000" w:rsidRPr="00000000">
        <w:rPr>
          <w:sz w:val="28"/>
          <w:szCs w:val="28"/>
          <w:rtl w:val="0"/>
        </w:rPr>
        <w:t xml:space="preserve">(Matt Edrich)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North/South Bikeway </w:t>
      </w:r>
      <w:r w:rsidDel="00000000" w:rsidR="00000000" w:rsidRPr="00000000">
        <w:rPr>
          <w:sz w:val="28"/>
          <w:szCs w:val="28"/>
          <w:rtl w:val="0"/>
        </w:rPr>
        <w:t xml:space="preserve">(Remy Altman)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Five Big Projects</w:t>
      </w:r>
      <w:r w:rsidDel="00000000" w:rsidR="00000000" w:rsidRPr="00000000">
        <w:rPr>
          <w:sz w:val="28"/>
          <w:szCs w:val="28"/>
          <w:rtl w:val="0"/>
        </w:rPr>
        <w:t xml:space="preserve"> (Difficulties of Projects by Aaron Fodge)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8 - LSC/Library Split Trail w/ Roundabout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Medium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19 - Plum and Meridian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Medium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9 - Administration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Medium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Politics?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&amp; 17 - Forked way by East Elizabeth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Easy to Medium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1 - North / South Bikeway &amp;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Easy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Post Meeting Action Items</w:t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Action: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Assigned To: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Deadline: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Motions Made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Motion 1- </w:t>
      </w:r>
      <w:r w:rsidDel="00000000" w:rsidR="00000000" w:rsidRPr="00000000">
        <w:rPr>
          <w:b w:val="1"/>
          <w:sz w:val="28"/>
          <w:szCs w:val="28"/>
          <w:rtl w:val="0"/>
        </w:rPr>
        <w:t xml:space="preserve">Approving minutes for 11/13 and 11/27 (Hanna)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Passed with no dissent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2 - Approve 5 projects to be estimated over winter break (Hanna)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Seconded by Josh Lindell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11-0 in favor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3 - Adding Re-Striping Amy Van Dyken Way to N/S Bikeway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by Hanna, seconded by Remy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11-0-1 (Zach abstains) in favor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Approval Date: &lt;Date or DRAFT&gt;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ATFAB 2017-2018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0" lIns="91425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color w:val="aeaaaa"/>
        <w:rtl w:val="0"/>
      </w:rPr>
      <w:t xml:space="preserve">12/4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color w:val="aeaaaa"/>
        <w:rtl w:val="0"/>
      </w:rPr>
      <w:t xml:space="preserve">17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